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4CEEB" w14:textId="6419BF92" w:rsidR="00AC300C" w:rsidRDefault="00AC300C" w:rsidP="00AC300C">
      <w:pPr>
        <w:bidi/>
        <w:jc w:val="center"/>
        <w:rPr>
          <w:rFonts w:eastAsia="Times New Roman"/>
          <w:b/>
          <w:bCs/>
          <w:sz w:val="40"/>
          <w:szCs w:val="40"/>
          <w:rtl/>
        </w:rPr>
      </w:pPr>
      <w:bookmarkStart w:id="0" w:name="_Hlk141602340"/>
      <w:r w:rsidRPr="00AC300C">
        <w:rPr>
          <w:rFonts w:eastAsia="Times New Roman" w:hint="cs"/>
          <w:b/>
          <w:bCs/>
          <w:sz w:val="40"/>
          <w:szCs w:val="40"/>
          <w:rtl/>
        </w:rPr>
        <w:t>مجموعة كابيتال بنك تحقق 50 مليون دينار أرباحاً صافية في النصف الأول من العام الجاري</w:t>
      </w:r>
      <w:bookmarkEnd w:id="0"/>
    </w:p>
    <w:p w14:paraId="4AD72944" w14:textId="77777777" w:rsidR="00C81642" w:rsidRPr="00AC300C" w:rsidRDefault="00C81642" w:rsidP="00C81642">
      <w:pPr>
        <w:bidi/>
        <w:jc w:val="center"/>
        <w:rPr>
          <w:rFonts w:eastAsia="Times New Roman"/>
          <w:b/>
          <w:bCs/>
          <w:sz w:val="40"/>
          <w:szCs w:val="40"/>
        </w:rPr>
      </w:pPr>
    </w:p>
    <w:p w14:paraId="3442DF7E" w14:textId="77777777" w:rsidR="00AC300C" w:rsidRPr="00AC300C" w:rsidRDefault="00AC300C" w:rsidP="00AC300C">
      <w:pPr>
        <w:bidi/>
        <w:jc w:val="center"/>
        <w:rPr>
          <w:rFonts w:eastAsia="Times New Roman"/>
          <w:sz w:val="28"/>
          <w:szCs w:val="28"/>
        </w:rPr>
      </w:pPr>
      <w:r w:rsidRPr="00AC300C">
        <w:rPr>
          <w:rFonts w:eastAsia="Times New Roman" w:hint="cs"/>
          <w:sz w:val="28"/>
          <w:szCs w:val="28"/>
          <w:rtl/>
        </w:rPr>
        <w:t>السالم: النتائج المالية القوية للمجموعة تعكس رؤيتها الاستراتيجية الطموحة وقدرتها على إدارة مواردها بكفاءة</w:t>
      </w:r>
    </w:p>
    <w:p w14:paraId="0484C19D" w14:textId="77777777" w:rsidR="00AC300C" w:rsidRDefault="00AC300C" w:rsidP="00AC300C">
      <w:pPr>
        <w:bidi/>
        <w:rPr>
          <w:rFonts w:eastAsia="Times New Roman"/>
          <w:rtl/>
        </w:rPr>
      </w:pPr>
      <w:r>
        <w:rPr>
          <w:rFonts w:eastAsia="Times New Roman" w:hint="cs"/>
          <w:rtl/>
        </w:rPr>
        <w:t> </w:t>
      </w:r>
    </w:p>
    <w:p w14:paraId="7BB792A8" w14:textId="77777777" w:rsidR="00AC300C" w:rsidRDefault="00AC300C" w:rsidP="00AC300C">
      <w:pPr>
        <w:bidi/>
        <w:jc w:val="both"/>
        <w:rPr>
          <w:rFonts w:eastAsia="Times New Roman"/>
          <w:sz w:val="28"/>
          <w:szCs w:val="28"/>
        </w:rPr>
      </w:pPr>
    </w:p>
    <w:p w14:paraId="74045988" w14:textId="12EBD0D7" w:rsidR="00AC300C" w:rsidRDefault="00AC300C" w:rsidP="00AC300C">
      <w:pPr>
        <w:bidi/>
        <w:jc w:val="both"/>
        <w:rPr>
          <w:rFonts w:eastAsia="Times New Roman"/>
          <w:sz w:val="28"/>
          <w:szCs w:val="28"/>
        </w:rPr>
      </w:pPr>
      <w:r w:rsidRPr="00AC300C">
        <w:rPr>
          <w:rFonts w:eastAsia="Times New Roman" w:hint="cs"/>
          <w:sz w:val="28"/>
          <w:szCs w:val="28"/>
          <w:rtl/>
        </w:rPr>
        <w:t>أعلنت مجموعة كابيتال بنك عن نتائجها المالية للنصف الأول من العام الجاري 2023، حيث حققت أداءً مالياً قوياً على كافة الأصعدة التشغيلية للمجموعة.</w:t>
      </w:r>
    </w:p>
    <w:p w14:paraId="2A7BCCB9" w14:textId="77777777" w:rsidR="00AC300C" w:rsidRPr="00AC300C" w:rsidRDefault="00AC300C" w:rsidP="00AC300C">
      <w:pPr>
        <w:bidi/>
        <w:jc w:val="both"/>
        <w:rPr>
          <w:rFonts w:eastAsia="Times New Roman"/>
          <w:sz w:val="28"/>
          <w:szCs w:val="28"/>
          <w:rtl/>
        </w:rPr>
      </w:pPr>
    </w:p>
    <w:p w14:paraId="65EBAAC5" w14:textId="5DD3D7E7" w:rsidR="00AC300C" w:rsidRDefault="00AC300C" w:rsidP="00AC300C">
      <w:pPr>
        <w:bidi/>
        <w:jc w:val="both"/>
        <w:rPr>
          <w:rFonts w:eastAsia="Times New Roman"/>
          <w:sz w:val="28"/>
          <w:szCs w:val="28"/>
        </w:rPr>
      </w:pPr>
      <w:bookmarkStart w:id="1" w:name="_Hlk141602348"/>
      <w:r w:rsidRPr="00AC300C">
        <w:rPr>
          <w:rFonts w:eastAsia="Times New Roman" w:hint="cs"/>
          <w:sz w:val="28"/>
          <w:szCs w:val="28"/>
          <w:rtl/>
        </w:rPr>
        <w:t>ووفقا للبيانات المالية، فقد بلغت صافي أرباح المجموعة من أعمالها الاعتيادية مع نهاية الشهور الستة الأولى من العام الجاري50 مليون دينار وبنسبة نمو وصلت إلى 20 %عن ذات الفترة من العام السابق، فيما سجلت المجموعة نمواً ملحوظاً في إجمالي الدخل الذي ارتفع بنسبة 63% ليصل إلى 150 مليون دينار في النصف الأول من العام الحالي، مقارنة مع 92 مليون دينار خلال نفس الفترة من العام الماضي.</w:t>
      </w:r>
    </w:p>
    <w:bookmarkEnd w:id="1"/>
    <w:p w14:paraId="049EE5EF" w14:textId="77777777" w:rsidR="00AC300C" w:rsidRPr="00AC300C" w:rsidRDefault="00AC300C" w:rsidP="00AC300C">
      <w:pPr>
        <w:bidi/>
        <w:jc w:val="both"/>
        <w:rPr>
          <w:rFonts w:eastAsia="Times New Roman"/>
          <w:sz w:val="28"/>
          <w:szCs w:val="28"/>
          <w:rtl/>
        </w:rPr>
      </w:pPr>
    </w:p>
    <w:p w14:paraId="1D0324DB" w14:textId="5699FAA7" w:rsidR="00AC300C" w:rsidRDefault="00AC300C" w:rsidP="00AC300C">
      <w:pPr>
        <w:bidi/>
        <w:jc w:val="both"/>
        <w:rPr>
          <w:rFonts w:eastAsia="Times New Roman"/>
          <w:sz w:val="28"/>
          <w:szCs w:val="28"/>
          <w:rtl/>
        </w:rPr>
      </w:pPr>
      <w:bookmarkStart w:id="2" w:name="_Hlk141602355"/>
      <w:r w:rsidRPr="00AC300C">
        <w:rPr>
          <w:rFonts w:eastAsia="Times New Roman" w:hint="cs"/>
          <w:sz w:val="28"/>
          <w:szCs w:val="28"/>
          <w:rtl/>
        </w:rPr>
        <w:t>وقال رئيس مجلس إدارة مجموعة كابيتال بنك باسم خليل السالم معلقاً على هذه  النتائج: "نحن فخورون بالنتائج المالية القوية التي حققتها مجموعة كابيتال بنك في الشهور الستة الأولى من العام الجاري 2023، حيث  تعكس هذه النتائج مدى التزامنا بتحقيق النمو المستدام وتقديم قيمة مضافة لعملائنا ومساهمينا، كما تسلط الضوء على قدرتنا في  تنفيذ استراتيجيتنا الطموحة وطويلة المدى للنمو والتي تتمحور أهدافها حول تحقيق الإنجازات والبناء عليها مع الاستمرار بسياستنا التحوطية</w:t>
      </w:r>
      <w:r>
        <w:rPr>
          <w:rFonts w:eastAsia="Times New Roman" w:hint="cs"/>
          <w:sz w:val="28"/>
          <w:szCs w:val="28"/>
          <w:rtl/>
          <w:lang w:bidi="ar-JO"/>
        </w:rPr>
        <w:t>،</w:t>
      </w:r>
      <w:r w:rsidRPr="00AC300C">
        <w:rPr>
          <w:rFonts w:eastAsia="Times New Roman" w:hint="cs"/>
          <w:sz w:val="28"/>
          <w:szCs w:val="28"/>
          <w:rtl/>
        </w:rPr>
        <w:t xml:space="preserve"> الأمر الذي انعكس إيجابا على العائد على حقوق الملكية  الذي وصل الى 17% وهو من أعلى النسب المتحققة في القطاع المصرفي".</w:t>
      </w:r>
    </w:p>
    <w:bookmarkEnd w:id="2"/>
    <w:p w14:paraId="4D710AAB" w14:textId="77777777" w:rsidR="00AC300C" w:rsidRPr="00AC300C" w:rsidRDefault="00AC300C" w:rsidP="00AC300C">
      <w:pPr>
        <w:bidi/>
        <w:jc w:val="both"/>
        <w:rPr>
          <w:rFonts w:eastAsia="Times New Roman"/>
          <w:sz w:val="28"/>
          <w:szCs w:val="28"/>
          <w:rtl/>
        </w:rPr>
      </w:pPr>
    </w:p>
    <w:p w14:paraId="1CA99E82" w14:textId="068098A3" w:rsidR="00AC300C" w:rsidRPr="00AC300C" w:rsidRDefault="00AC300C" w:rsidP="00AC300C">
      <w:pPr>
        <w:bidi/>
        <w:jc w:val="both"/>
        <w:rPr>
          <w:rFonts w:eastAsia="Times New Roman"/>
          <w:sz w:val="28"/>
          <w:szCs w:val="28"/>
          <w:rtl/>
        </w:rPr>
      </w:pPr>
      <w:r w:rsidRPr="00AC300C">
        <w:rPr>
          <w:rFonts w:eastAsia="Times New Roman" w:hint="cs"/>
          <w:sz w:val="28"/>
          <w:szCs w:val="28"/>
          <w:rtl/>
        </w:rPr>
        <w:t xml:space="preserve">وأشار السالم إلى أن النتائج المالية التي حققتها المجموعة ما هي إلا نتيجة لسياسة التكامل بين البنك وشركاته التابعة والتي تعمل جميعها في أكبر وأهم الأسواق العربية وهي السعودية، والعراق والإمارات، موضحاً أن المصرف الأهلي العراقي وبفضل علاقاته القوية والممتدة مع عملائه بالإضافة الى تواجده في المملكة العربية السعودية أصبح اليوم يتصدر قائمة البنوك الخاصة في السوق العراقي. </w:t>
      </w:r>
    </w:p>
    <w:p w14:paraId="64B1D9AE" w14:textId="77777777" w:rsidR="00AC300C" w:rsidRDefault="00AC300C" w:rsidP="00AC300C">
      <w:pPr>
        <w:bidi/>
        <w:jc w:val="both"/>
        <w:rPr>
          <w:rFonts w:eastAsia="Times New Roman"/>
          <w:sz w:val="28"/>
          <w:szCs w:val="28"/>
          <w:rtl/>
        </w:rPr>
      </w:pPr>
    </w:p>
    <w:p w14:paraId="32329680" w14:textId="6E44E92A" w:rsidR="00AC300C" w:rsidRDefault="00AC300C" w:rsidP="00AC300C">
      <w:pPr>
        <w:bidi/>
        <w:jc w:val="both"/>
        <w:rPr>
          <w:rFonts w:eastAsia="Times New Roman"/>
          <w:sz w:val="28"/>
          <w:szCs w:val="28"/>
          <w:rtl/>
        </w:rPr>
      </w:pPr>
      <w:bookmarkStart w:id="3" w:name="_Hlk141602361"/>
      <w:r w:rsidRPr="00AC300C">
        <w:rPr>
          <w:rFonts w:eastAsia="Times New Roman" w:hint="cs"/>
          <w:sz w:val="28"/>
          <w:szCs w:val="28"/>
          <w:rtl/>
        </w:rPr>
        <w:t xml:space="preserve">من جانبه، قال  الرئيس التنفيذي بالوكالة لمجموعة كابيتال بنك، سامر إبراهيم العالول، إن النتائج المالية القوية التي حققتها المجموعة في النصف الأول من عام 2023 تعكس مدى قوة ومتانة الأعمال التشغيلية والتي تمثلت بنمو صافي الدخل التشغيلي بنسبة 85% عن نفس الفترة من العام السابق ليصل الى 92 مليون دينار أردني مع المحافظة على نسب متانة مالية قوية، إلى جانب استمرار المجموعة في سياستها التحوطية حيث تم  رصد مخصصات بقيمة 25 مليون دينار في النصف الأول لعام 2023 لمواجهة أية مخاطر ائتمانية محتملة، وبما يكفل جودة أعلى للأصول بنسبة تغطية للمخصصات  تجاوزت 90%. </w:t>
      </w:r>
    </w:p>
    <w:bookmarkEnd w:id="3"/>
    <w:p w14:paraId="6B65A90F" w14:textId="77777777" w:rsidR="00AC300C" w:rsidRPr="00AC300C" w:rsidRDefault="00AC300C" w:rsidP="00AC300C">
      <w:pPr>
        <w:bidi/>
        <w:jc w:val="both"/>
        <w:rPr>
          <w:rFonts w:eastAsia="Times New Roman"/>
          <w:sz w:val="28"/>
          <w:szCs w:val="28"/>
          <w:rtl/>
        </w:rPr>
      </w:pPr>
    </w:p>
    <w:p w14:paraId="59C48BF5" w14:textId="6FCFA13D" w:rsidR="00AC300C" w:rsidRDefault="00AC300C" w:rsidP="00AC300C">
      <w:pPr>
        <w:bidi/>
        <w:jc w:val="both"/>
        <w:rPr>
          <w:rFonts w:eastAsia="Times New Roman"/>
          <w:sz w:val="28"/>
          <w:szCs w:val="28"/>
          <w:rtl/>
        </w:rPr>
      </w:pPr>
      <w:bookmarkStart w:id="4" w:name="_Hlk141602366"/>
      <w:r w:rsidRPr="00AC300C">
        <w:rPr>
          <w:rFonts w:eastAsia="Times New Roman" w:hint="cs"/>
          <w:sz w:val="28"/>
          <w:szCs w:val="28"/>
          <w:rtl/>
        </w:rPr>
        <w:t xml:space="preserve">وأشار العالول إلى نمو إجمالي موجودات المجموعة بنسبة 8% حتى نهاية حزيران الماضي، لتصل إلى 7.5 مليار دينار، مقارنة مع 7 مليارات دينار في العام الماضي، مدعومة بزيادة حجم </w:t>
      </w:r>
      <w:proofErr w:type="gramStart"/>
      <w:r w:rsidRPr="00AC300C">
        <w:rPr>
          <w:rFonts w:eastAsia="Times New Roman" w:hint="cs"/>
          <w:sz w:val="28"/>
          <w:szCs w:val="28"/>
          <w:rtl/>
        </w:rPr>
        <w:t>الودائع  بنسبة</w:t>
      </w:r>
      <w:proofErr w:type="gramEnd"/>
      <w:r w:rsidRPr="00AC300C">
        <w:rPr>
          <w:rFonts w:eastAsia="Times New Roman" w:hint="cs"/>
          <w:sz w:val="28"/>
          <w:szCs w:val="28"/>
          <w:rtl/>
        </w:rPr>
        <w:t xml:space="preserve"> 12% لترتفع إلى  5.5 مليار دينار مقارنة مع 4.9 مليار دينار في نهاية العام 2022</w:t>
      </w:r>
      <w:r>
        <w:rPr>
          <w:rFonts w:eastAsia="Times New Roman" w:hint="cs"/>
          <w:sz w:val="28"/>
          <w:szCs w:val="28"/>
          <w:rtl/>
        </w:rPr>
        <w:t xml:space="preserve">. </w:t>
      </w:r>
    </w:p>
    <w:bookmarkEnd w:id="4"/>
    <w:p w14:paraId="4E74BF15" w14:textId="77777777" w:rsidR="00AC300C" w:rsidRPr="00AC300C" w:rsidRDefault="00AC300C" w:rsidP="00AC300C">
      <w:pPr>
        <w:bidi/>
        <w:jc w:val="both"/>
        <w:rPr>
          <w:rFonts w:eastAsia="Times New Roman"/>
          <w:sz w:val="28"/>
          <w:szCs w:val="28"/>
          <w:rtl/>
        </w:rPr>
      </w:pPr>
    </w:p>
    <w:p w14:paraId="643A1F93" w14:textId="28A731EF" w:rsidR="00AC300C" w:rsidRDefault="00AC300C" w:rsidP="00AC300C">
      <w:pPr>
        <w:bidi/>
        <w:jc w:val="both"/>
        <w:rPr>
          <w:rFonts w:eastAsia="Times New Roman"/>
          <w:sz w:val="28"/>
          <w:szCs w:val="28"/>
          <w:rtl/>
        </w:rPr>
      </w:pPr>
      <w:r w:rsidRPr="00AC300C">
        <w:rPr>
          <w:rFonts w:eastAsia="Times New Roman" w:hint="cs"/>
          <w:sz w:val="28"/>
          <w:szCs w:val="28"/>
          <w:rtl/>
        </w:rPr>
        <w:lastRenderedPageBreak/>
        <w:t xml:space="preserve">ولفت العالول إلى نمو محفظة إدارة الأصول في شركة كابيتال للاستثمارات – الذراع الاستثماري للمجموعة ليصل إجمالي أصول المحفظة إلى 700 مليون دولار كما في نهاية حزيران الماضي. </w:t>
      </w:r>
    </w:p>
    <w:p w14:paraId="1E1506A5" w14:textId="77777777" w:rsidR="00AC300C" w:rsidRPr="00AC300C" w:rsidRDefault="00AC300C" w:rsidP="00AC300C">
      <w:pPr>
        <w:bidi/>
        <w:jc w:val="both"/>
        <w:rPr>
          <w:rFonts w:eastAsia="Times New Roman"/>
          <w:sz w:val="28"/>
          <w:szCs w:val="28"/>
          <w:rtl/>
        </w:rPr>
      </w:pPr>
    </w:p>
    <w:p w14:paraId="24DA47FC" w14:textId="55B83459" w:rsidR="00AC300C" w:rsidRDefault="00AC300C" w:rsidP="00AC300C">
      <w:pPr>
        <w:bidi/>
        <w:jc w:val="both"/>
        <w:rPr>
          <w:rFonts w:eastAsia="Times New Roman"/>
          <w:sz w:val="28"/>
          <w:szCs w:val="28"/>
          <w:rtl/>
        </w:rPr>
      </w:pPr>
      <w:r w:rsidRPr="00AC300C">
        <w:rPr>
          <w:rFonts w:eastAsia="Times New Roman" w:hint="cs"/>
          <w:sz w:val="28"/>
          <w:szCs w:val="28"/>
          <w:rtl/>
        </w:rPr>
        <w:t>وأوضح العالول أن أعمال التأجير التمويلي التي نمت بنسبة 60% فقد أسهمت في تنويع أعمال مجموعة كابيتال بنك وإيراداتها في الأردن والعراق وتوفير خدمات جديدة ذات قيمة مضافة لعملائنا.</w:t>
      </w:r>
    </w:p>
    <w:p w14:paraId="43C8CCD5" w14:textId="77777777" w:rsidR="00AC300C" w:rsidRPr="00AC300C" w:rsidRDefault="00AC300C" w:rsidP="00AC300C">
      <w:pPr>
        <w:bidi/>
        <w:jc w:val="both"/>
        <w:rPr>
          <w:rFonts w:eastAsia="Times New Roman"/>
          <w:sz w:val="28"/>
          <w:szCs w:val="28"/>
          <w:rtl/>
        </w:rPr>
      </w:pPr>
    </w:p>
    <w:p w14:paraId="65085281" w14:textId="77777777" w:rsidR="00AC300C" w:rsidRDefault="00AC300C" w:rsidP="00AC300C">
      <w:pPr>
        <w:bidi/>
        <w:jc w:val="both"/>
        <w:rPr>
          <w:rFonts w:eastAsia="Times New Roman"/>
          <w:sz w:val="28"/>
          <w:szCs w:val="28"/>
          <w:rtl/>
        </w:rPr>
      </w:pPr>
      <w:bookmarkStart w:id="5" w:name="_Hlk141602383"/>
      <w:r w:rsidRPr="00AC300C">
        <w:rPr>
          <w:rFonts w:eastAsia="Times New Roman" w:hint="cs"/>
          <w:sz w:val="28"/>
          <w:szCs w:val="28"/>
          <w:rtl/>
        </w:rPr>
        <w:t>بدوره  قال المدير التنفيذي للمصرف الأهلي العراقي أيمن عمران أبو دهيم ، إن المصرف حقق في الشهور الستة الأولى من العام الجاري نمواً ملحوظاً في جميع جوانب أعماله، حيث حقق المصرف ربحا صافيا بقيمة 24 مليون دينار أردني خلال النصف الأول من العام الحالي، في حين بلغ إجمالي أصول المصرف 1.9 مليار دينار أردني  وبإجمالي ودائع بلغت  1.5 مليار دينار أردني ، كما نمت محفظة التسهيلات الائتمانية بحوالي 183 مليون دينار شكل النمو في قطاع الأفراد 60% منها ،مدعوما بزيادة في   قاعدة عملاء المصرف  لتصل إلى 149 ألف  عميل لنهاية حزيران الماضي، لافتاً إلى أن هذه الأرقام تظهر ارتفاع ثقة العملاء  في المصرف وبسمعته الجيدة وقدرته على تلبية المتطلبات المتنامية لكافة العملاء من الأفراد والمؤسسات .</w:t>
      </w:r>
    </w:p>
    <w:bookmarkEnd w:id="5"/>
    <w:p w14:paraId="4BE3671E" w14:textId="77777777" w:rsidR="00AC300C" w:rsidRPr="00AC300C" w:rsidRDefault="00AC300C" w:rsidP="00AC300C">
      <w:pPr>
        <w:bidi/>
        <w:jc w:val="both"/>
        <w:rPr>
          <w:rFonts w:eastAsia="Times New Roman"/>
          <w:sz w:val="28"/>
          <w:szCs w:val="28"/>
          <w:rtl/>
        </w:rPr>
      </w:pPr>
    </w:p>
    <w:p w14:paraId="0B521567" w14:textId="77777777" w:rsidR="00AC300C" w:rsidRPr="00AC300C" w:rsidRDefault="00AC300C" w:rsidP="00AC300C">
      <w:pPr>
        <w:bidi/>
        <w:jc w:val="both"/>
        <w:rPr>
          <w:rFonts w:eastAsia="Times New Roman"/>
          <w:sz w:val="28"/>
          <w:szCs w:val="28"/>
          <w:rtl/>
        </w:rPr>
      </w:pPr>
      <w:r w:rsidRPr="00AC300C">
        <w:rPr>
          <w:rFonts w:eastAsia="Times New Roman" w:hint="cs"/>
          <w:sz w:val="28"/>
          <w:szCs w:val="28"/>
          <w:rtl/>
        </w:rPr>
        <w:t>وأوضح أبو دهيم، أن المصرف الأهلي العراقي أصبح الخيار الأفضل للعملاء الذين تتطلب أعمالهم إصدار الحوالات المصرفية وخطابات الضمان و الاعتمادات المستندية والتي نمت بنسبة 30%  خلال الستة شهور الأولى  عن نفس الفترة من العام الماضي، مشيراً إلى أن المصرف واصل تحسين بنيته التحتية وزيادة انتشاره في المحافظات العراقية حيث تم افتتاح فرعين جديدين للمصرف  ليصل إجمالي عدد فروعه في العراق إلى 26 فرعاً، بالإضافة الى فرعه في الرياض الذي باشر أعماله رسمياً منذ أيلول الماضي حيث شهد انطلاقة قوية في السوق السعودي وتمكن من استقطاب كبرى الشركات السعودية التي لديها تعاملات تجارية مع العراق .</w:t>
      </w:r>
    </w:p>
    <w:p w14:paraId="670BD187" w14:textId="77777777" w:rsidR="00AC300C" w:rsidRPr="00AC300C" w:rsidRDefault="00AC300C" w:rsidP="00AC300C">
      <w:pPr>
        <w:bidi/>
        <w:jc w:val="both"/>
        <w:rPr>
          <w:rFonts w:eastAsia="Times New Roman"/>
          <w:sz w:val="28"/>
          <w:szCs w:val="28"/>
          <w:rtl/>
        </w:rPr>
      </w:pPr>
    </w:p>
    <w:p w14:paraId="4B722253" w14:textId="77777777" w:rsidR="00AC300C" w:rsidRPr="00AC300C" w:rsidRDefault="00AC300C" w:rsidP="00AC300C">
      <w:pPr>
        <w:bidi/>
        <w:jc w:val="center"/>
        <w:rPr>
          <w:rFonts w:eastAsia="Times New Roman"/>
          <w:sz w:val="28"/>
          <w:szCs w:val="28"/>
          <w:rtl/>
        </w:rPr>
      </w:pPr>
      <w:r w:rsidRPr="00AC300C">
        <w:rPr>
          <w:rFonts w:eastAsia="Times New Roman" w:hint="cs"/>
          <w:sz w:val="28"/>
          <w:szCs w:val="28"/>
          <w:rtl/>
        </w:rPr>
        <w:t>-انتهى-</w:t>
      </w:r>
    </w:p>
    <w:p w14:paraId="0D0F7299" w14:textId="77777777" w:rsidR="004D61CD" w:rsidRPr="00AC300C" w:rsidRDefault="004D61CD" w:rsidP="00AC300C">
      <w:pPr>
        <w:jc w:val="both"/>
        <w:rPr>
          <w:sz w:val="28"/>
          <w:szCs w:val="28"/>
        </w:rPr>
      </w:pPr>
    </w:p>
    <w:sectPr w:rsidR="004D61CD" w:rsidRPr="00AC30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00C"/>
    <w:rsid w:val="004D61CD"/>
    <w:rsid w:val="00AC300C"/>
    <w:rsid w:val="00C816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AC372"/>
  <w15:chartTrackingRefBased/>
  <w15:docId w15:val="{E41E27DD-8129-4CFB-A1D8-D133C44B3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300C"/>
    <w:pPr>
      <w:spacing w:after="0" w:line="240" w:lineRule="auto"/>
    </w:pPr>
    <w:rPr>
      <w:rFonts w:ascii="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103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607</Words>
  <Characters>3466</Characters>
  <Application>Microsoft Office Word</Application>
  <DocSecurity>4</DocSecurity>
  <Lines>28</Lines>
  <Paragraphs>8</Paragraphs>
  <ScaleCrop>false</ScaleCrop>
  <Company/>
  <LinksUpToDate>false</LinksUpToDate>
  <CharactersWithSpaces>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Suha Seikaly</dc:creator>
  <cp:keywords/>
  <dc:description/>
  <cp:lastModifiedBy>Barham Al-mashini</cp:lastModifiedBy>
  <cp:revision>2</cp:revision>
  <dcterms:created xsi:type="dcterms:W3CDTF">2023-07-30T06:46:00Z</dcterms:created>
  <dcterms:modified xsi:type="dcterms:W3CDTF">2023-07-30T06:46:00Z</dcterms:modified>
</cp:coreProperties>
</file>